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Costa Marzo 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DÍA 1. SÁBADO 07 DE MARZO 2026: MÉXICO- PUNTA CANA</w:t>
      </w:r>
    </w:p>
    <w:p w:rsidR="00000000" w:rsidDel="00000000" w:rsidP="00000000" w:rsidRDefault="00000000" w:rsidRPr="00000000" w14:paraId="00000005">
      <w:pPr>
        <w:spacing w:after="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Llegada al aeropuerto de Punta Cana y traslado al hotel. Alojamiento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DÍA 2.- DOMINGO 08 DE MARZO (COSTA PACIFICA) MUELLE CASA DE CAMPO- LA ROMANA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Desayuno en el hotel. A la hora indicada traslado al muelle de la Romana para abordar Costa Fascinosa.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DÍA 3 - LUNES 09 DE MARZO: ISLA CATALINA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 paraíso tropical en la costa de República Dominicana, famoso por sus playas de arena blanca y aguas cristalinas. Ideal para nadar, hacer snorkel o simplemente relajarse en un entorno natural espectacular.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DÍA 4 - MARTES 10 DE MARZO: CABO ROJO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Ubicado en la costa suroeste de República Dominicana, Cabo Rojo es conocido por sus playas vírgenes y aguas turquesas. Un destino perfecto para los amantes de la naturaleza y la tranquilidad.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DÍA 5 - MIÉRCOLES 11 DE MARZO: NAVEGANDO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 día en altamar para disfrutar de las comodidades del crucero. Relájate en la piscina, disfruta de la gastronomía a bordo o participa en actividades y entretenimiento.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DÍA 6 - JUEVES 12 DE MARZO: GRAND TURK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isla principal de Turcas y Caicos, con playas de arena blanca y aguas cristalinas. Un destino ideal para bucear, nadar con mantarrayas o explorar la historia colonial en Cockburn Town.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DÍA 7 - VIERNES 13 DE MARZO: AMBER COVE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Amber Cove es un destino exclusivo para cruceros, con instalaciones modernas, piscinas, tiendas, restaurantes y acceso a diversas excursiones. Desde allí, puedes explorar playas cercanas, visitar la histórica ciudad de Puerto Plata o aventurarte en actividades como tirolesa, paseos en buggy y tours a la famosa Cascada Damajagua.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DÍA 8 - SÁBADO 14 DE MARZO: SAMANÁ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 joya natural de República Dominicana, famosa por sus paisajes exuberantes, playas vírgenes y avistamiento de ballenas jorobadas en temporada. Ideal para explorar el Parque Nacional Los Haitises o la Cascada El Limón.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DÍA 9.- DOMINGO 15 DE MARZO. LA ROMANA- SANTO DOMINGO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Desembarque. A la hora indicada traslado del Puerto al hotel en Santo Domingo. Alojamiento.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DÍA 10.-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LUNES 16 DE MARZO. SANTO DOMINGO</w:t>
        <w:br w:type="textWrapping"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Desayuno en el hotel y a la hora indicada traslado al aeropuerto para tomar vuelo de regreso a su destino. FIN DE LOS SERVICIOS.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Incluye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24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Boleto aéreo NLU-PUJ SDQ- NLU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noche de alojamiento pre-crucero con desayuno en Punta Cana o Sto. Domingo (según ruta aérea) 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Traslado de llegada Aeropuerto- hotel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Traslado hotel- Puerto la Romana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teatro, cine, disco y bares)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Impuestos portuarios por persona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Propinas en crucero por persona  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Paquete de Bebidas en crucero (alcohólicas)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 mayor parte de las comidas a bordo del crucero.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Traslado puerto – hotel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 noche de alojamiento post crucero en Santo Domingo con desayuno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Traslado Hotel- Aeropuerto</w:t>
      </w:r>
    </w:p>
    <w:p w:rsidR="00000000" w:rsidDel="00000000" w:rsidP="00000000" w:rsidRDefault="00000000" w:rsidRPr="00000000" w14:paraId="00000025">
      <w:pPr>
        <w:spacing w:after="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0" w:before="240"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 incluye:</w:t>
      </w:r>
    </w:p>
    <w:p w:rsidR="00000000" w:rsidDel="00000000" w:rsidP="00000000" w:rsidRDefault="00000000" w:rsidRPr="00000000" w14:paraId="00000028">
      <w:pPr>
        <w:spacing w:after="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Alimentos no especificados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Todo servicio no descrito en el precio incluye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Propinas y gastos personales en tierra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Paquete de WIFI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Gastos personales como llamadas telefónicas, lavandería, internet, spa, etc.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Restaurantes de especialidades en crucero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Excursiones y/o actividades en Tierra del programa crucero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Paquete Opcional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9f9f9" w:val="clear"/>
        <w:spacing w:after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Hoteles y cruceros previsto o similar </w:t>
      </w:r>
    </w:p>
    <w:p w:rsidR="00000000" w:rsidDel="00000000" w:rsidP="00000000" w:rsidRDefault="00000000" w:rsidRPr="00000000" w14:paraId="00000033">
      <w:pPr>
        <w:shd w:fill="f9f9f9" w:val="clear"/>
        <w:spacing w:after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br w:type="textWrapping"/>
        <w:t xml:space="preserve">Punta Cana -   FARANDA SINGLE ONE</w:t>
      </w:r>
    </w:p>
    <w:p w:rsidR="00000000" w:rsidDel="00000000" w:rsidP="00000000" w:rsidRDefault="00000000" w:rsidRPr="00000000" w14:paraId="00000034">
      <w:pPr>
        <w:shd w:fill="f9f9f9" w:val="clear"/>
        <w:spacing w:after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Santo Domingo - HODELPA NOVUS PLAZA</w:t>
        <w:br w:type="textWrapping"/>
        <w:br w:type="textWrapping"/>
        <w:t xml:space="preserve">Crucero - Costa Pacifica</w:t>
        <w:br w:type="textWrapping"/>
        <w:t xml:space="preserve">Hora de salida crucero: 12:00 pm. // Hora de llegada 08:00 am</w:t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tbl>
      <w:tblPr>
        <w:tblStyle w:val="Table1"/>
        <w:tblW w:w="79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10"/>
        <w:gridCol w:w="1545"/>
        <w:gridCol w:w="1395"/>
        <w:gridCol w:w="1440"/>
        <w:gridCol w:w="930"/>
        <w:tblGridChange w:id="0">
          <w:tblGrid>
            <w:gridCol w:w="2610"/>
            <w:gridCol w:w="1545"/>
            <w:gridCol w:w="1395"/>
            <w:gridCol w:w="1440"/>
            <w:gridCol w:w="9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4d93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TARIFA POR PERSONA EN USD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44b3e1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SERVICIOS TERRESTRES + CRUCERO + AEREO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0070c0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POR PERSONA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0070c0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PAX 1 Y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0070c0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3ER PAX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0070c0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4TO PAX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0070c0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MNR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CABINA INTERIOR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1210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CABINA EXTERIOR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1210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CABINA BALCÓN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0" w:val="nil"/>
              <w:left w:color="1e4e79" w:space="0" w:sz="5" w:val="single"/>
              <w:bottom w:color="000000" w:space="0" w:sz="0" w:val="nil"/>
              <w:right w:color="000000" w:space="0" w:sz="0" w:val="nil"/>
            </w:tcBorders>
            <w:shd w:fill="2f5496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before="24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TARIFAS SUJETAS A CAMBIOS Y DISPONIBILIDAD SIN PREVIO AVISO</w:t>
            </w:r>
          </w:p>
        </w:tc>
      </w:tr>
    </w:tbl>
    <w:p w:rsidR="00000000" w:rsidDel="00000000" w:rsidP="00000000" w:rsidRDefault="00000000" w:rsidRPr="00000000" w14:paraId="0000005A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NOTAS IMPORTANTES:</w:t>
      </w:r>
    </w:p>
    <w:p w:rsidR="00000000" w:rsidDel="00000000" w:rsidP="00000000" w:rsidRDefault="00000000" w:rsidRPr="00000000" w14:paraId="0000005D">
      <w:pPr>
        <w:spacing w:after="0" w:before="24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Capacidad máxima es de 3 adultos + 1 niño // 2 adultos + 2 niños en la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habitación</w:t>
      </w:r>
    </w:p>
    <w:p w:rsidR="00000000" w:rsidDel="00000000" w:rsidP="00000000" w:rsidRDefault="00000000" w:rsidRPr="00000000" w14:paraId="0000005F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 Los menores son considerados de 2 a 12 años</w:t>
      </w:r>
    </w:p>
    <w:p w:rsidR="00000000" w:rsidDel="00000000" w:rsidP="00000000" w:rsidRDefault="00000000" w:rsidRPr="00000000" w14:paraId="00000060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000000" w:rsidDel="00000000" w:rsidP="00000000" w:rsidRDefault="00000000" w:rsidRPr="00000000" w14:paraId="00000061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  Habitaciones estándar. En caso de preferir habitaciones superiores favor de consultar.</w:t>
      </w:r>
    </w:p>
    <w:p w:rsidR="00000000" w:rsidDel="00000000" w:rsidP="00000000" w:rsidRDefault="00000000" w:rsidRPr="00000000" w14:paraId="00000062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 No se reembolsará ningún traslado o visita en el caso de no disfrute o de cancelación de este.</w:t>
      </w:r>
    </w:p>
    <w:p w:rsidR="00000000" w:rsidDel="00000000" w:rsidP="00000000" w:rsidRDefault="00000000" w:rsidRPr="00000000" w14:paraId="00000063">
      <w:pPr>
        <w:spacing w:after="0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 El orden de las actividades puede tener modificaciones</w:t>
      </w:r>
    </w:p>
    <w:p w:rsidR="00000000" w:rsidDel="00000000" w:rsidP="00000000" w:rsidRDefault="00000000" w:rsidRPr="00000000" w14:paraId="00000064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</w:t>
      </w:r>
    </w:p>
    <w:p w:rsidR="00000000" w:rsidDel="00000000" w:rsidP="00000000" w:rsidRDefault="00000000" w:rsidRPr="00000000" w14:paraId="00000065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●Manejo de equipaje máximo de 1 maleta por persona. En caso de equipaje adicional costos extras pueden ser cobrados en destino. </w:t>
      </w:r>
    </w:p>
    <w:p w:rsidR="00000000" w:rsidDel="00000000" w:rsidP="00000000" w:rsidRDefault="00000000" w:rsidRPr="00000000" w14:paraId="00000066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●Para poder confirmar los traslados debemos recibir la información completa a más tardar 30 días antes de la salida. Si no recibimos esta información el traslado se perderá sin reembolso</w:t>
      </w:r>
    </w:p>
    <w:p w:rsidR="00000000" w:rsidDel="00000000" w:rsidP="00000000" w:rsidRDefault="00000000" w:rsidRPr="00000000" w14:paraId="00000067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 Tarifa y salidas del crucero sujetas a disponibilidad y cambios sin previo aviso</w:t>
      </w:r>
    </w:p>
    <w:p w:rsidR="00000000" w:rsidDel="00000000" w:rsidP="00000000" w:rsidRDefault="00000000" w:rsidRPr="00000000" w14:paraId="00000068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●Es responsabilidad del pasajero contar con documentos y vacunas requeridas antes de su viaje.</w:t>
      </w:r>
    </w:p>
    <w:p w:rsidR="00000000" w:rsidDel="00000000" w:rsidP="00000000" w:rsidRDefault="00000000" w:rsidRPr="00000000" w14:paraId="00000069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 Los documentos finales del crucero se envían aproximadamente 30 días antes de la salida</w:t>
      </w:r>
    </w:p>
    <w:p w:rsidR="00000000" w:rsidDel="00000000" w:rsidP="00000000" w:rsidRDefault="00000000" w:rsidRPr="00000000" w14:paraId="0000006A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 Los impuestos portuarios varían dependiendo los puertos de salida y llegada</w:t>
      </w:r>
    </w:p>
    <w:p w:rsidR="00000000" w:rsidDel="00000000" w:rsidP="00000000" w:rsidRDefault="00000000" w:rsidRPr="00000000" w14:paraId="0000006B">
      <w:pPr>
        <w:spacing w:after="0" w:line="276" w:lineRule="auto"/>
        <w:ind w:left="108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●La edad mínima en niños viajando en cruceros es de 6 meses, con la excepción de los trasatlánticos, transpacíficos, Hawái y cruceros de América del Sur donde la edad mínima es de 12 meses.</w:t>
      </w:r>
    </w:p>
    <w:p w:rsidR="00000000" w:rsidDel="00000000" w:rsidP="00000000" w:rsidRDefault="00000000" w:rsidRPr="00000000" w14:paraId="0000006C">
      <w:pPr>
        <w:spacing w:after="0" w:before="24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567" w:top="2160" w:left="992" w:right="104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-1365879</wp:posOffset>
          </wp:positionH>
          <wp:positionV relativeFrom="paragraph">
            <wp:posOffset>-449572</wp:posOffset>
          </wp:positionV>
          <wp:extent cx="4171950" cy="1322705"/>
          <wp:effectExtent b="0" l="0" r="0" t="0"/>
          <wp:wrapNone/>
          <wp:docPr id="1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71950" cy="13227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1170305</wp:posOffset>
          </wp:positionH>
          <wp:positionV relativeFrom="paragraph">
            <wp:posOffset>-449572</wp:posOffset>
          </wp:positionV>
          <wp:extent cx="6000750" cy="1000125"/>
          <wp:effectExtent b="0" l="0" r="0" t="0"/>
          <wp:wrapNone/>
          <wp:docPr id="12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80"/>
    </w:pPr>
    <w:rPr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Refdenotaalfinal">
    <w:name w:val="endnote reference"/>
    <w:basedOn w:val="Fuentedeprrafopredeter"/>
    <w:uiPriority w:val="99"/>
    <w:semiHidden w:val="1"/>
    <w:unhideWhenUsed w:val="1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pPr>
      <w:spacing w:after="0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 w:val="1"/>
    <w:pPr>
      <w:tabs>
        <w:tab w:val="center" w:pos="4419"/>
        <w:tab w:val="right" w:pos="8838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 w:val="1"/>
    <w:pPr>
      <w:tabs>
        <w:tab w:val="center" w:pos="4419"/>
        <w:tab w:val="right" w:pos="8838"/>
      </w:tabs>
      <w:spacing w:after="0"/>
    </w:pPr>
  </w:style>
  <w:style w:type="table" w:styleId="Tablaconcuadrcula">
    <w:name w:val="Table Grid"/>
    <w:basedOn w:val="Tablanormal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 w:val="1"/>
    <w:pPr>
      <w:ind w:left="720"/>
      <w:contextualSpacing w:val="1"/>
    </w:p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qFormat w:val="1"/>
    <w:rPr>
      <w:sz w:val="20"/>
      <w:szCs w:val="20"/>
    </w:rPr>
  </w:style>
  <w:style w:type="table" w:styleId="Tabladecuadrcula1clara-nfasis31" w:customStyle="1">
    <w:name w:val="Tabla de cuadrícula 1 clara - Énfasis 31"/>
    <w:basedOn w:val="Tablanormal"/>
    <w:uiPriority w:val="46"/>
    <w:tblPr>
      <w:tblBorders>
        <w:top w:color="f5e2a9" w:space="0" w:sz="4" w:themeColor="accent3" w:themeTint="000066" w:val="single"/>
        <w:left w:color="f5e2a9" w:space="0" w:sz="4" w:themeColor="accent3" w:themeTint="000066" w:val="single"/>
        <w:bottom w:color="f5e2a9" w:space="0" w:sz="4" w:themeColor="accent3" w:themeTint="000066" w:val="single"/>
        <w:right w:color="f5e2a9" w:space="0" w:sz="4" w:themeColor="accent3" w:themeTint="000066" w:val="single"/>
        <w:insideH w:color="f5e2a9" w:space="0" w:sz="4" w:themeColor="accent3" w:themeTint="000066" w:val="single"/>
        <w:insideV w:color="f5e2a9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f0d37e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0d37e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normal41" w:customStyle="1">
    <w:name w:val="Tabla normal 41"/>
    <w:basedOn w:val="Tablanormal"/>
    <w:uiPriority w:val="44"/>
    <w:qFormat w:val="1"/>
    <w:tblPr/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NormalWeb">
    <w:name w:val="Normal (Web)"/>
    <w:basedOn w:val="Normal"/>
    <w:uiPriority w:val="99"/>
    <w:semiHidden w:val="1"/>
    <w:unhideWhenUsed w:val="1"/>
    <w:rsid w:val="00625912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table" w:styleId="Tabladelista1clara-nfasis6">
    <w:name w:val="List Table 1 Light Accent 6"/>
    <w:basedOn w:val="Tablanormal"/>
    <w:uiPriority w:val="46"/>
    <w:rsid w:val="00D5080C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59dc3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59dc3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bdeeb" w:themeFill="accent6" w:themeFillTint="000033" w:val="clear"/>
      </w:tcPr>
    </w:tblStylePr>
    <w:tblStylePr w:type="band1Horz">
      <w:tblPr/>
      <w:tcPr>
        <w:shd w:color="auto" w:fill="ebdeeb" w:themeFill="accent6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_rels/theme1.xml.rels><?xml version="1.0" encoding="UTF-8" standalone="yes"?>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kfX8Ifo1jJwk+oiUKthTwgL2fw==">CgMxLjA4AHIhMTRvaFVQNHlvWF81SkthUXp6bWVvR1I4Q2FRZXdyZUJu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2024-07-31T19:18:00Z</dcterms:created>
  <dc:creator>imacop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2058-12.2.0.13416</vt:lpwstr>
  </property>
  <property fmtid="{D5CDD505-2E9C-101B-9397-08002B2CF9AE}" pid="3" name="ICV">
    <vt:lpwstr>27E46D03794145D4ACD6E697EB68761D_12</vt:lpwstr>
  </property>
</Properties>
</file>