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9fbfd" w:val="clear"/>
        <w:spacing w:after="0" w:before="0" w:line="293.33333333333337" w:lineRule="auto"/>
        <w:jc w:val="center"/>
        <w:rPr>
          <w:rFonts w:ascii="Roboto" w:cs="Roboto" w:eastAsia="Roboto" w:hAnsi="Roboto"/>
          <w:sz w:val="27"/>
          <w:szCs w:val="27"/>
        </w:rPr>
      </w:pPr>
      <w:bookmarkStart w:colFirst="0" w:colLast="0" w:name="_heading=h.ossua7ftq612" w:id="0"/>
      <w:bookmarkEnd w:id="0"/>
      <w:r w:rsidDel="00000000" w:rsidR="00000000" w:rsidRPr="00000000">
        <w:rPr>
          <w:rtl w:val="0"/>
        </w:rPr>
      </w:r>
    </w:p>
    <w:p w:rsidR="00000000" w:rsidDel="00000000" w:rsidP="00000000" w:rsidRDefault="00000000" w:rsidRPr="00000000" w14:paraId="00000002">
      <w:pPr>
        <w:pStyle w:val="Title"/>
        <w:shd w:fill="f9fbfd" w:val="clear"/>
        <w:spacing w:after="0" w:before="0" w:line="293.33333333333337" w:lineRule="auto"/>
        <w:jc w:val="center"/>
        <w:rPr>
          <w:rFonts w:ascii="Roboto" w:cs="Roboto" w:eastAsia="Roboto" w:hAnsi="Roboto"/>
          <w:color w:val="ffffff"/>
          <w:sz w:val="20"/>
          <w:szCs w:val="20"/>
        </w:rPr>
      </w:pPr>
      <w:bookmarkStart w:colFirst="0" w:colLast="0" w:name="_heading=h.5rzrzm1hc57c" w:id="1"/>
      <w:bookmarkEnd w:id="1"/>
      <w:r w:rsidDel="00000000" w:rsidR="00000000" w:rsidRPr="00000000">
        <w:rPr>
          <w:rFonts w:ascii="Roboto" w:cs="Roboto" w:eastAsia="Roboto" w:hAnsi="Roboto"/>
          <w:sz w:val="29"/>
          <w:szCs w:val="29"/>
          <w:rtl w:val="0"/>
        </w:rPr>
        <w:t xml:space="preserve">Canadá al Alcance</w:t>
      </w:r>
      <w:r w:rsidDel="00000000" w:rsidR="00000000" w:rsidRPr="00000000">
        <w:rPr>
          <w:rtl w:val="0"/>
        </w:rPr>
      </w:r>
    </w:p>
    <w:p w:rsidR="00000000" w:rsidDel="00000000" w:rsidP="00000000" w:rsidRDefault="00000000" w:rsidRPr="00000000" w14:paraId="00000003">
      <w:pPr>
        <w:pStyle w:val="Title"/>
        <w:shd w:fill="f9fbfd" w:val="clear"/>
        <w:spacing w:after="0" w:before="0" w:line="293.33333333333337" w:lineRule="auto"/>
        <w:jc w:val="left"/>
        <w:rPr>
          <w:rFonts w:ascii="Roboto" w:cs="Roboto" w:eastAsia="Roboto" w:hAnsi="Roboto"/>
          <w:color w:val="ffffff"/>
          <w:sz w:val="18"/>
          <w:szCs w:val="18"/>
        </w:rPr>
      </w:pPr>
      <w:bookmarkStart w:colFirst="0" w:colLast="0" w:name="_heading=h.4hfs9o2jbvfn" w:id="2"/>
      <w:bookmarkEnd w:id="2"/>
      <w:r w:rsidDel="00000000" w:rsidR="00000000" w:rsidRPr="00000000">
        <w:rPr>
          <w:rFonts w:ascii="Roboto" w:cs="Roboto" w:eastAsia="Roboto" w:hAnsi="Roboto"/>
          <w:color w:val="ffffff"/>
          <w:sz w:val="18"/>
          <w:szCs w:val="18"/>
          <w:rtl w:val="0"/>
        </w:rPr>
        <w:t xml:space="preserve">ocx</w:t>
      </w:r>
    </w:p>
    <w:p w:rsidR="00000000" w:rsidDel="00000000" w:rsidP="00000000" w:rsidRDefault="00000000" w:rsidRPr="00000000" w14:paraId="00000004">
      <w:pPr>
        <w:spacing w:after="0" w:lineRule="auto"/>
        <w:jc w:val="left"/>
        <w:rPr>
          <w:b w:val="1"/>
          <w:sz w:val="24"/>
          <w:szCs w:val="24"/>
        </w:rPr>
      </w:pPr>
      <w:r w:rsidDel="00000000" w:rsidR="00000000" w:rsidRPr="00000000">
        <w:rPr>
          <w:b w:val="1"/>
          <w:sz w:val="24"/>
          <w:szCs w:val="24"/>
        </w:rPr>
        <w:drawing>
          <wp:inline distB="114300" distT="114300" distL="114300" distR="114300">
            <wp:extent cx="6347143" cy="3429000"/>
            <wp:effectExtent b="0" l="0" r="0" t="0"/>
            <wp:docPr id="16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347143"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spacing w:after="0" w:lineRule="auto"/>
        <w:jc w:val="center"/>
        <w:rPr>
          <w:b w:val="1"/>
          <w:sz w:val="24"/>
          <w:szCs w:val="24"/>
        </w:rPr>
      </w:pPr>
      <w:r w:rsidDel="00000000" w:rsidR="00000000" w:rsidRPr="00000000">
        <w:rPr>
          <w:b w:val="1"/>
          <w:sz w:val="24"/>
          <w:szCs w:val="24"/>
        </w:rPr>
        <w:drawing>
          <wp:inline distB="114300" distT="114300" distL="114300" distR="114300">
            <wp:extent cx="3832543" cy="2322070"/>
            <wp:effectExtent b="0" l="0" r="0" t="0"/>
            <wp:docPr id="15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832543" cy="232207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left"/>
        <w:rPr>
          <w:b w:val="1"/>
          <w:sz w:val="24"/>
          <w:szCs w:val="24"/>
        </w:rPr>
      </w:pPr>
      <w:r w:rsidDel="00000000" w:rsidR="00000000" w:rsidRPr="00000000">
        <w:rPr>
          <w:rtl w:val="0"/>
        </w:rPr>
      </w:r>
    </w:p>
    <w:p w:rsidR="00000000" w:rsidDel="00000000" w:rsidP="00000000" w:rsidRDefault="00000000" w:rsidRPr="00000000" w14:paraId="00000008">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firstLine="0"/>
        <w:rPr>
          <w:sz w:val="24"/>
          <w:szCs w:val="24"/>
        </w:rPr>
      </w:pPr>
      <w:bookmarkStart w:colFirst="0" w:colLast="0" w:name="_heading=h.fnyrh0u03d4c" w:id="3"/>
      <w:bookmarkEnd w:id="3"/>
      <w:r w:rsidDel="00000000" w:rsidR="00000000" w:rsidRPr="00000000">
        <w:rPr>
          <w:rtl w:val="0"/>
        </w:rPr>
      </w:r>
    </w:p>
    <w:p w:rsidR="00000000" w:rsidDel="00000000" w:rsidP="00000000" w:rsidRDefault="00000000" w:rsidRPr="00000000" w14:paraId="00000009">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firstLine="0"/>
        <w:rPr>
          <w:sz w:val="24"/>
          <w:szCs w:val="24"/>
        </w:rPr>
      </w:pPr>
      <w:bookmarkStart w:colFirst="0" w:colLast="0" w:name="_heading=h.beje4xa1km66" w:id="4"/>
      <w:bookmarkEnd w:id="4"/>
      <w:r w:rsidDel="00000000" w:rsidR="00000000" w:rsidRPr="00000000">
        <w:rPr>
          <w:rtl w:val="0"/>
        </w:rPr>
      </w:r>
    </w:p>
    <w:p w:rsidR="00000000" w:rsidDel="00000000" w:rsidP="00000000" w:rsidRDefault="00000000" w:rsidRPr="00000000" w14:paraId="0000000A">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firstLine="0"/>
        <w:rPr>
          <w:sz w:val="24"/>
          <w:szCs w:val="24"/>
        </w:rPr>
      </w:pPr>
      <w:bookmarkStart w:colFirst="0" w:colLast="0" w:name="_heading=h.tysu416gtvgk" w:id="5"/>
      <w:bookmarkEnd w:id="5"/>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firstLine="0"/>
        <w:rPr>
          <w:b w:val="0"/>
          <w:sz w:val="24"/>
          <w:szCs w:val="24"/>
        </w:rPr>
      </w:pPr>
      <w:bookmarkStart w:colFirst="0" w:colLast="0" w:name="_heading=h.ywcg3zv10fft" w:id="6"/>
      <w:bookmarkEnd w:id="6"/>
      <w:r w:rsidDel="00000000" w:rsidR="00000000" w:rsidRPr="00000000">
        <w:rPr>
          <w:rtl w:val="0"/>
        </w:rPr>
      </w:r>
    </w:p>
    <w:p w:rsidR="00000000" w:rsidDel="00000000" w:rsidP="00000000" w:rsidRDefault="00000000" w:rsidRPr="00000000" w14:paraId="0000000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rPr>
          <w:sz w:val="24"/>
          <w:szCs w:val="24"/>
        </w:rPr>
      </w:pPr>
      <w:bookmarkStart w:colFirst="0" w:colLast="0" w:name="_heading=h.udlpn9bkq51x" w:id="7"/>
      <w:bookmarkEnd w:id="7"/>
      <w:r w:rsidDel="00000000" w:rsidR="00000000" w:rsidRPr="00000000">
        <w:rPr>
          <w:sz w:val="24"/>
          <w:szCs w:val="24"/>
          <w:rtl w:val="0"/>
        </w:rPr>
        <w:t xml:space="preserve">Día 1 Aeropuerto de Toronto &amp; Toronto</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sz w:val="24"/>
          <w:szCs w:val="24"/>
        </w:rPr>
      </w:pPr>
      <w:r w:rsidDel="00000000" w:rsidR="00000000" w:rsidRPr="00000000">
        <w:rPr>
          <w:sz w:val="24"/>
          <w:szCs w:val="24"/>
          <w:rtl w:val="0"/>
        </w:rPr>
        <w:t xml:space="preserve">Bienvenidos a Toronto. Favor buscar el representante de Global Tourisme a la llegada en el aeropuerto quien tendrá una pancarta con nuestro logo. Traslado del aeropuerto al hotel. Tiempo libre para explorar la ciudad. Alojamiento en Toronto.</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b w:val="1"/>
          <w:sz w:val="24"/>
          <w:szCs w:val="24"/>
        </w:rPr>
      </w:pPr>
      <w:r w:rsidDel="00000000" w:rsidR="00000000" w:rsidRPr="00000000">
        <w:rPr>
          <w:b w:val="1"/>
          <w:sz w:val="24"/>
          <w:szCs w:val="24"/>
          <w:rtl w:val="0"/>
        </w:rPr>
        <w:t xml:space="preserve">Día 2 Toronto &amp; Niágara</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sz w:val="24"/>
          <w:szCs w:val="24"/>
        </w:rPr>
      </w:pPr>
      <w:r w:rsidDel="00000000" w:rsidR="00000000" w:rsidRPr="00000000">
        <w:rPr>
          <w:sz w:val="24"/>
          <w:szCs w:val="24"/>
          <w:rtl w:val="0"/>
        </w:rPr>
        <w:t xml:space="preserve">Desayuno en el hotel. El recorrido empieza visitando Toronto, capital económica del país: recorrido por el antiguo y nuevo City Hall, el Parlamento, el barrio Chino, la Universidad de Toronto, la Torre CN (subida opcional). Continuaremos nuestro paseo para llegar a las Cataratas del Niágara. La excursión en barco « Voyage to the Falls» (disponible del 15 de Mayo al 15 de Octubre, fuera de estas fechas, la actividad será reemplazada por los túneles escénicos) los llevará al corazón de las cataratas. Tiempo libre para explorar Niágara y ver las cataratas iluminadas por la noche. Alojamiento en la ciudad de Niágara.</w:t>
      </w:r>
    </w:p>
    <w:p w:rsidR="00000000" w:rsidDel="00000000" w:rsidP="00000000" w:rsidRDefault="00000000" w:rsidRPr="00000000" w14:paraId="0000001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jc w:val="both"/>
        <w:rPr>
          <w:sz w:val="24"/>
          <w:szCs w:val="24"/>
        </w:rPr>
      </w:pPr>
      <w:bookmarkStart w:colFirst="0" w:colLast="0" w:name="_heading=h.3rfyabnxfoy0" w:id="8"/>
      <w:bookmarkEnd w:id="8"/>
      <w:r w:rsidDel="00000000" w:rsidR="00000000" w:rsidRPr="00000000">
        <w:rPr>
          <w:sz w:val="24"/>
          <w:szCs w:val="24"/>
          <w:rtl w:val="0"/>
        </w:rPr>
        <w:t xml:space="preserve">Día 3 Niágara &amp; Mil Islas &amp; Ottawa</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sz w:val="24"/>
          <w:szCs w:val="24"/>
        </w:rPr>
      </w:pPr>
      <w:r w:rsidDel="00000000" w:rsidR="00000000" w:rsidRPr="00000000">
        <w:rPr>
          <w:sz w:val="24"/>
          <w:szCs w:val="24"/>
          <w:rtl w:val="0"/>
        </w:rPr>
        <w:t xml:space="preserve">Desayuno en el hotel. El recorrido de nuestro tour continúa hacia Mil Islas. Crucero por las Islas de una hora donde pueden apreciar diversos paisajes (disponible de Mayo a Octubre, duera de estas fechas, la actividad será reemplazada por el Museo de la civilización en Quebec). Al final del crucero, salida con dirección a Ottawa, la capital de Canadá. Podrán apreciar el Parlamento de Canadá, la Residencia del Primer Ministro, la Residencia del Gobernador General y otros edificios del Gobierno. Al final del recorrido podrán visitar el Mercado Byward. Tiempo libre por la noche. Alojamiento en Ottawa.</w:t>
      </w:r>
    </w:p>
    <w:p w:rsidR="00000000" w:rsidDel="00000000" w:rsidP="00000000" w:rsidRDefault="00000000" w:rsidRPr="00000000" w14:paraId="0000001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jc w:val="both"/>
        <w:rPr>
          <w:b w:val="0"/>
          <w:sz w:val="24"/>
          <w:szCs w:val="24"/>
        </w:rPr>
      </w:pPr>
      <w:bookmarkStart w:colFirst="0" w:colLast="0" w:name="_heading=h.b3v929jbvsrr" w:id="9"/>
      <w:bookmarkEnd w:id="9"/>
      <w:r w:rsidDel="00000000" w:rsidR="00000000" w:rsidRPr="00000000">
        <w:rPr>
          <w:rtl w:val="0"/>
        </w:rPr>
      </w:r>
    </w:p>
    <w:p w:rsidR="00000000" w:rsidDel="00000000" w:rsidP="00000000" w:rsidRDefault="00000000" w:rsidRPr="00000000" w14:paraId="0000001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jc w:val="both"/>
        <w:rPr>
          <w:sz w:val="24"/>
          <w:szCs w:val="24"/>
        </w:rPr>
      </w:pPr>
      <w:bookmarkStart w:colFirst="0" w:colLast="0" w:name="_heading=h.7i5dczlit918" w:id="10"/>
      <w:bookmarkEnd w:id="10"/>
      <w:r w:rsidDel="00000000" w:rsidR="00000000" w:rsidRPr="00000000">
        <w:rPr>
          <w:sz w:val="24"/>
          <w:szCs w:val="24"/>
          <w:rtl w:val="0"/>
        </w:rPr>
        <w:t xml:space="preserve">Día 4 Ottawa &amp; Quebec</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sz w:val="24"/>
          <w:szCs w:val="24"/>
        </w:rPr>
      </w:pPr>
      <w:r w:rsidDel="00000000" w:rsidR="00000000" w:rsidRPr="00000000">
        <w:rPr>
          <w:sz w:val="24"/>
          <w:szCs w:val="24"/>
          <w:rtl w:val="0"/>
        </w:rPr>
        <w:t xml:space="preserve">Desayuno en el hotel. Por la mañana, salida hacia la ciudad de Quebec, la ciudad más antigua de Canadá y declarada Patrimonio cultural de la Humanidad por la UNESCO. Recorrido por la Plaza de Armas, la Plaza Real, el barrio Petit Champlain, el Parlamento de Quebec, la Terraza Dufferin, el Castillo Frontenac, las calles Saint-Jean y Grande-Allée y el Viejo Puerto. Tiempo libre por la noche. Alojamiento en Quebec.</w:t>
      </w:r>
    </w:p>
    <w:p w:rsidR="00000000" w:rsidDel="00000000" w:rsidP="00000000" w:rsidRDefault="00000000" w:rsidRPr="00000000" w14:paraId="0000001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jc w:val="both"/>
        <w:rPr>
          <w:sz w:val="24"/>
          <w:szCs w:val="24"/>
        </w:rPr>
      </w:pPr>
      <w:bookmarkStart w:colFirst="0" w:colLast="0" w:name="_heading=h.7gyscryj7j5e" w:id="11"/>
      <w:bookmarkEnd w:id="11"/>
      <w:r w:rsidDel="00000000" w:rsidR="00000000" w:rsidRPr="00000000">
        <w:rPr>
          <w:sz w:val="24"/>
          <w:szCs w:val="24"/>
          <w:rtl w:val="0"/>
        </w:rPr>
        <w:t xml:space="preserve">Día 5 Quebec</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sz w:val="24"/>
          <w:szCs w:val="24"/>
        </w:rPr>
      </w:pPr>
      <w:r w:rsidDel="00000000" w:rsidR="00000000" w:rsidRPr="00000000">
        <w:rPr>
          <w:sz w:val="24"/>
          <w:szCs w:val="24"/>
          <w:rtl w:val="0"/>
        </w:rPr>
        <w:t xml:space="preserve">Desayuno en el hotel. Día libre sin transporte para recorrer la ciudad de Quebec a su antojo o para una excurcion opcional. Alojamiento en Quebec.</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b w:val="1"/>
          <w:sz w:val="24"/>
          <w:szCs w:val="24"/>
        </w:rPr>
      </w:pPr>
      <w:r w:rsidDel="00000000" w:rsidR="00000000" w:rsidRPr="00000000">
        <w:rPr>
          <w:b w:val="1"/>
          <w:sz w:val="24"/>
          <w:szCs w:val="24"/>
          <w:rtl w:val="0"/>
        </w:rPr>
        <w:t xml:space="preserve"> Día 6 </w:t>
      </w:r>
      <w:r w:rsidDel="00000000" w:rsidR="00000000" w:rsidRPr="00000000">
        <w:rPr>
          <w:b w:val="1"/>
          <w:sz w:val="24"/>
          <w:szCs w:val="24"/>
          <w:rtl w:val="0"/>
        </w:rPr>
        <w:t xml:space="preserve">Quebec &amp; Montreal</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sz w:val="24"/>
          <w:szCs w:val="24"/>
        </w:rPr>
      </w:pPr>
      <w:r w:rsidDel="00000000" w:rsidR="00000000" w:rsidRPr="00000000">
        <w:rPr>
          <w:sz w:val="24"/>
          <w:szCs w:val="24"/>
          <w:rtl w:val="0"/>
        </w:rPr>
        <w:t xml:space="preserve">Desayuno en el hotel. Salida hacia Montreal, la segunda ciudad francófona después de París. Llegada a Montreal. Visita de la ciudad de Montreal pasando por el barrio histórico llamado Vieux-Montreal, la basílica Notre-Dame (entrada no incluida), el parque del Mont-Royal, la red subterránea de túneles y galerías que unen más de 2000 tiendas, restaurantes, museos, universidades y edificios del centro de la ciudad. Alojamiento en Montreal. </w:t>
      </w:r>
    </w:p>
    <w:p w:rsidR="00000000" w:rsidDel="00000000" w:rsidP="00000000" w:rsidRDefault="00000000" w:rsidRPr="00000000" w14:paraId="0000001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jc w:val="both"/>
        <w:rPr>
          <w:sz w:val="24"/>
          <w:szCs w:val="24"/>
        </w:rPr>
      </w:pPr>
      <w:bookmarkStart w:colFirst="0" w:colLast="0" w:name="_heading=h.yuo21kb36laq" w:id="12"/>
      <w:bookmarkEnd w:id="12"/>
      <w:r w:rsidDel="00000000" w:rsidR="00000000" w:rsidRPr="00000000">
        <w:rPr>
          <w:sz w:val="24"/>
          <w:szCs w:val="24"/>
          <w:rtl w:val="0"/>
        </w:rPr>
        <w:t xml:space="preserve">Día 07 Montreal</w:t>
      </w:r>
    </w:p>
    <w:p w:rsidR="00000000" w:rsidDel="00000000" w:rsidP="00000000" w:rsidRDefault="00000000" w:rsidRPr="00000000" w14:paraId="0000001C">
      <w:pPr>
        <w:rPr>
          <w:sz w:val="24"/>
          <w:szCs w:val="24"/>
        </w:rPr>
      </w:pPr>
      <w:r w:rsidDel="00000000" w:rsidR="00000000" w:rsidRPr="00000000">
        <w:rPr>
          <w:sz w:val="24"/>
          <w:szCs w:val="24"/>
          <w:rtl w:val="0"/>
        </w:rPr>
        <w:t xml:space="preserve">Desayuno en el hotel. Día libre en Montreal para recorrer la ciudad a su antojo o para una actividad opcional. Alojamiento en Montréal</w:t>
      </w:r>
      <w:r w:rsidDel="00000000" w:rsidR="00000000" w:rsidRPr="00000000">
        <w:rPr>
          <w:rtl w:val="0"/>
        </w:rPr>
      </w:r>
    </w:p>
    <w:p w:rsidR="00000000" w:rsidDel="00000000" w:rsidP="00000000" w:rsidRDefault="00000000" w:rsidRPr="00000000" w14:paraId="0000001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jc w:val="both"/>
        <w:rPr>
          <w:sz w:val="24"/>
          <w:szCs w:val="24"/>
        </w:rPr>
      </w:pPr>
      <w:bookmarkStart w:colFirst="0" w:colLast="0" w:name="_heading=h.1y6yc2nu2uox" w:id="13"/>
      <w:bookmarkEnd w:id="13"/>
      <w:r w:rsidDel="00000000" w:rsidR="00000000" w:rsidRPr="00000000">
        <w:rPr>
          <w:b w:val="0"/>
          <w:sz w:val="24"/>
          <w:szCs w:val="24"/>
          <w:rtl w:val="0"/>
        </w:rPr>
        <w:br w:type="textWrapping"/>
      </w:r>
      <w:r w:rsidDel="00000000" w:rsidR="00000000" w:rsidRPr="00000000">
        <w:rPr>
          <w:sz w:val="24"/>
          <w:szCs w:val="24"/>
          <w:rtl w:val="0"/>
        </w:rPr>
        <w:t xml:space="preserve">Día 08 Montreal &amp; Aeropuerto de Montreal</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rFonts w:ascii="Arial" w:cs="Arial" w:eastAsia="Arial" w:hAnsi="Arial"/>
          <w:color w:val="707070"/>
          <w:sz w:val="27"/>
          <w:szCs w:val="27"/>
        </w:rPr>
      </w:pPr>
      <w:r w:rsidDel="00000000" w:rsidR="00000000" w:rsidRPr="00000000">
        <w:rPr>
          <w:sz w:val="24"/>
          <w:szCs w:val="24"/>
          <w:rtl w:val="0"/>
        </w:rPr>
        <w:t xml:space="preserve">Desayuno en el hotel dependiendo de su horario de vuelo. Traslado al aeropuerto.</w:t>
      </w: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rFonts w:ascii="Arial" w:cs="Arial" w:eastAsia="Arial" w:hAnsi="Arial"/>
          <w:color w:val="707070"/>
          <w:sz w:val="27"/>
          <w:szCs w:val="27"/>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373.33333333333337" w:lineRule="auto"/>
        <w:jc w:val="both"/>
        <w:rPr>
          <w:rFonts w:ascii="Arial" w:cs="Arial" w:eastAsia="Arial" w:hAnsi="Arial"/>
          <w:color w:val="707070"/>
          <w:sz w:val="27"/>
          <w:szCs w:val="27"/>
        </w:rPr>
      </w:pPr>
      <w:r w:rsidDel="00000000" w:rsidR="00000000" w:rsidRPr="00000000">
        <w:rPr>
          <w:rtl w:val="0"/>
        </w:rPr>
      </w:r>
    </w:p>
    <w:p w:rsidR="00000000" w:rsidDel="00000000" w:rsidP="00000000" w:rsidRDefault="00000000" w:rsidRPr="00000000" w14:paraId="00000021">
      <w:pPr>
        <w:spacing w:after="0" w:lineRule="auto"/>
        <w:rPr>
          <w:sz w:val="24"/>
          <w:szCs w:val="24"/>
        </w:rPr>
      </w:pPr>
      <w:r w:rsidDel="00000000" w:rsidR="00000000" w:rsidRPr="00000000">
        <w:rPr>
          <w:rtl w:val="0"/>
        </w:rPr>
      </w:r>
    </w:p>
    <w:p w:rsidR="00000000" w:rsidDel="00000000" w:rsidP="00000000" w:rsidRDefault="00000000" w:rsidRPr="00000000" w14:paraId="00000022">
      <w:pPr>
        <w:spacing w:after="0" w:lineRule="auto"/>
        <w:ind w:left="0" w:firstLine="0"/>
        <w:rPr>
          <w:b w:val="1"/>
          <w:sz w:val="24"/>
          <w:szCs w:val="24"/>
        </w:rPr>
      </w:pPr>
      <w:r w:rsidDel="00000000" w:rsidR="00000000" w:rsidRPr="00000000">
        <w:rPr>
          <w:b w:val="1"/>
          <w:sz w:val="24"/>
          <w:szCs w:val="24"/>
          <w:rtl w:val="0"/>
        </w:rPr>
        <w:t xml:space="preserve">Incluye:</w:t>
        <w:br w:type="textWrapping"/>
        <w:br w:type="textWrapping"/>
      </w:r>
    </w:p>
    <w:p w:rsidR="00000000" w:rsidDel="00000000" w:rsidP="00000000" w:rsidRDefault="00000000" w:rsidRPr="00000000" w14:paraId="0000002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7 noches de alojamiento en hoteles de categoría Turista descentrados.</w:t>
      </w:r>
    </w:p>
    <w:p w:rsidR="00000000" w:rsidDel="00000000" w:rsidP="00000000" w:rsidRDefault="00000000" w:rsidRPr="00000000" w14:paraId="0000002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7 desayunos continentales.</w:t>
      </w:r>
    </w:p>
    <w:p w:rsidR="00000000" w:rsidDel="00000000" w:rsidP="00000000" w:rsidRDefault="00000000" w:rsidRPr="00000000" w14:paraId="0000002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Transporte en bus de alta comodidad o mini-bus dependiendo del número de pasajeros. Día 1 y 8 solo traslados. Día 5 y 7 transporte no incluido excepto en las excursiones opcionales.</w:t>
      </w:r>
    </w:p>
    <w:p w:rsidR="00000000" w:rsidDel="00000000" w:rsidP="00000000" w:rsidRDefault="00000000" w:rsidRPr="00000000" w14:paraId="0000002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Guía acompañante de habla hispana durante todo el recorrido.</w:t>
      </w:r>
    </w:p>
    <w:p w:rsidR="00000000" w:rsidDel="00000000" w:rsidP="00000000" w:rsidRDefault="00000000" w:rsidRPr="00000000" w14:paraId="0000002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Las visitas de Toronto, Niágara, Ottawa, Quebec y Montreal comentadas por su guía acompañante o por un guía local.</w:t>
      </w:r>
    </w:p>
    <w:p w:rsidR="00000000" w:rsidDel="00000000" w:rsidP="00000000" w:rsidRDefault="00000000" w:rsidRPr="00000000" w14:paraId="0000002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Todas las visitas mencionadas en el itinerario salvo cuando se mencionan como visitas opcionales. Incluye la excursión en barco « Voyage to the Falls» o los túneles escénicos de Journey behind the falls y el crucero por Mil Islas. (El crucero por Mil Islas es disponible de Mayo a Octubre, fuera de estas fechas la actividad será reemplazada por el Museo de la civilización en Quebec).</w:t>
      </w:r>
    </w:p>
    <w:p w:rsidR="00000000" w:rsidDel="00000000" w:rsidP="00000000" w:rsidRDefault="00000000" w:rsidRPr="00000000" w14:paraId="0000002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Tarifa niños aplicable a los menores de 12 años acompañados por dos adultos.</w:t>
      </w:r>
    </w:p>
    <w:p w:rsidR="00000000" w:rsidDel="00000000" w:rsidP="00000000" w:rsidRDefault="00000000" w:rsidRPr="00000000" w14:paraId="0000002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Todos los impuestos aplicables.</w:t>
      </w:r>
    </w:p>
    <w:p w:rsidR="00000000" w:rsidDel="00000000" w:rsidP="00000000" w:rsidRDefault="00000000" w:rsidRPr="00000000" w14:paraId="0000002B">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sz w:val="24"/>
          <w:szCs w:val="24"/>
          <w:u w:val="none"/>
        </w:rPr>
      </w:pPr>
      <w:r w:rsidDel="00000000" w:rsidR="00000000" w:rsidRPr="00000000">
        <w:rPr>
          <w:sz w:val="24"/>
          <w:szCs w:val="24"/>
          <w:rtl w:val="0"/>
        </w:rPr>
        <w:t xml:space="preserve">Asistencia al viajero </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sz w:val="24"/>
          <w:szCs w:val="24"/>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b w:val="1"/>
          <w:sz w:val="24"/>
          <w:szCs w:val="24"/>
        </w:rPr>
      </w:pPr>
      <w:r w:rsidDel="00000000" w:rsidR="00000000" w:rsidRPr="00000000">
        <w:rPr>
          <w:b w:val="1"/>
          <w:sz w:val="24"/>
          <w:szCs w:val="24"/>
          <w:rtl w:val="0"/>
        </w:rPr>
        <w:t xml:space="preserve"> No incluye </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2F">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Los gastos personales</w:t>
      </w:r>
    </w:p>
    <w:p w:rsidR="00000000" w:rsidDel="00000000" w:rsidP="00000000" w:rsidRDefault="00000000" w:rsidRPr="00000000" w14:paraId="00000030">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Las comidas y actividades que no estan mencionadas en el programa</w:t>
      </w:r>
    </w:p>
    <w:p w:rsidR="00000000" w:rsidDel="00000000" w:rsidP="00000000" w:rsidRDefault="00000000" w:rsidRPr="00000000" w14:paraId="00000031">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Propina para el guía y el chófer (Aconsejamos respectivamente un minimo de $7 CAD por dia / por persona y $5 CAD por día / por persona) </w:t>
      </w:r>
    </w:p>
    <w:p w:rsidR="00000000" w:rsidDel="00000000" w:rsidP="00000000" w:rsidRDefault="00000000" w:rsidRPr="00000000" w14:paraId="00000032">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Otras propinas</w:t>
      </w:r>
    </w:p>
    <w:p w:rsidR="00000000" w:rsidDel="00000000" w:rsidP="00000000" w:rsidRDefault="00000000" w:rsidRPr="00000000" w14:paraId="00000033">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afterAutospacing="0" w:line="276" w:lineRule="auto"/>
        <w:ind w:left="720" w:hanging="360"/>
        <w:rPr>
          <w:rFonts w:ascii="Arial" w:cs="Arial" w:eastAsia="Arial" w:hAnsi="Arial"/>
          <w:sz w:val="27"/>
          <w:szCs w:val="27"/>
        </w:rPr>
      </w:pPr>
      <w:r w:rsidDel="00000000" w:rsidR="00000000" w:rsidRPr="00000000">
        <w:rPr>
          <w:sz w:val="24"/>
          <w:szCs w:val="24"/>
          <w:rtl w:val="0"/>
        </w:rPr>
        <w:t xml:space="preserve">El seguro de viaje</w:t>
      </w:r>
    </w:p>
    <w:p w:rsidR="00000000" w:rsidDel="00000000" w:rsidP="00000000" w:rsidRDefault="00000000" w:rsidRPr="00000000" w14:paraId="00000034">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Arial" w:cs="Arial" w:eastAsia="Arial" w:hAnsi="Arial"/>
          <w:sz w:val="27"/>
          <w:szCs w:val="27"/>
        </w:rPr>
      </w:pPr>
      <w:r w:rsidDel="00000000" w:rsidR="00000000" w:rsidRPr="00000000">
        <w:rPr>
          <w:sz w:val="24"/>
          <w:szCs w:val="24"/>
          <w:rtl w:val="0"/>
        </w:rPr>
        <w:t xml:space="preserve">Servicios adicionales</w:t>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sz w:val="24"/>
          <w:szCs w:val="24"/>
        </w:rPr>
      </w:pP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sz w:val="24"/>
          <w:szCs w:val="24"/>
        </w:rPr>
      </w:pPr>
      <w:r w:rsidDel="00000000" w:rsidR="00000000" w:rsidRPr="00000000">
        <w:rPr>
          <w:b w:val="1"/>
          <w:sz w:val="24"/>
          <w:szCs w:val="24"/>
          <w:rtl w:val="0"/>
        </w:rPr>
        <w:t xml:space="preserve">Hotel previsto o similar </w:t>
        <w:br w:type="textWrapping"/>
      </w:r>
      <w:r w:rsidDel="00000000" w:rsidR="00000000" w:rsidRPr="00000000">
        <w:rPr>
          <w:sz w:val="24"/>
          <w:szCs w:val="24"/>
          <w:rtl w:val="0"/>
        </w:rPr>
        <w:t xml:space="preserve">TORONTO: Holiday Inn North York o similar (descentrado) - Hotel 3*</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sz w:val="24"/>
          <w:szCs w:val="24"/>
        </w:rPr>
      </w:pPr>
      <w:r w:rsidDel="00000000" w:rsidR="00000000" w:rsidRPr="00000000">
        <w:rPr>
          <w:sz w:val="24"/>
          <w:szCs w:val="24"/>
          <w:rtl w:val="0"/>
        </w:rPr>
        <w:t xml:space="preserve">NIÁGARA: Wyndham Garden Niagara Falls o similar (descentrado) - Hotel 3*</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sz w:val="24"/>
          <w:szCs w:val="24"/>
        </w:rPr>
      </w:pPr>
      <w:r w:rsidDel="00000000" w:rsidR="00000000" w:rsidRPr="00000000">
        <w:rPr>
          <w:sz w:val="24"/>
          <w:szCs w:val="24"/>
          <w:rtl w:val="0"/>
        </w:rPr>
        <w:t xml:space="preserve">OTTAWA: Quality Inn &amp; Suites Gatineau o similar (descentrado) - Hotel 3* </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sz w:val="24"/>
          <w:szCs w:val="24"/>
        </w:rPr>
      </w:pPr>
      <w:r w:rsidDel="00000000" w:rsidR="00000000" w:rsidRPr="00000000">
        <w:rPr>
          <w:sz w:val="24"/>
          <w:szCs w:val="24"/>
          <w:rtl w:val="0"/>
        </w:rPr>
        <w:t xml:space="preserve">QUEBEC: Travelodge Quebec o similar (descentrado) - Hotel 3*</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Arial" w:cs="Arial" w:eastAsia="Arial" w:hAnsi="Arial"/>
          <w:b w:val="1"/>
          <w:color w:val="707070"/>
          <w:sz w:val="27"/>
          <w:szCs w:val="27"/>
        </w:rPr>
      </w:pPr>
      <w:r w:rsidDel="00000000" w:rsidR="00000000" w:rsidRPr="00000000">
        <w:rPr>
          <w:sz w:val="24"/>
          <w:szCs w:val="24"/>
          <w:rtl w:val="0"/>
        </w:rPr>
        <w:t xml:space="preserve">MONTREAL: Best Western Brossard o similar (descentrado) - Hotel 3*</w:t>
      </w: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sz w:val="24"/>
          <w:szCs w:val="24"/>
        </w:rPr>
      </w:pP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b w:val="1"/>
          <w:sz w:val="24"/>
          <w:szCs w:val="24"/>
        </w:rPr>
      </w:pPr>
      <w:r w:rsidDel="00000000" w:rsidR="00000000" w:rsidRPr="00000000">
        <w:rPr>
          <w:b w:val="1"/>
          <w:sz w:val="24"/>
          <w:szCs w:val="24"/>
          <w:rtl w:val="0"/>
        </w:rPr>
        <w:t xml:space="preserve">NOTAS</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sz w:val="24"/>
          <w:szCs w:val="24"/>
        </w:rPr>
      </w:pPr>
      <w:r w:rsidDel="00000000" w:rsidR="00000000" w:rsidRPr="00000000">
        <w:rPr>
          <w:rtl w:val="0"/>
        </w:rPr>
      </w:r>
    </w:p>
    <w:p w:rsidR="00000000" w:rsidDel="00000000" w:rsidP="00000000" w:rsidRDefault="00000000" w:rsidRPr="00000000" w14:paraId="0000004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sz w:val="24"/>
          <w:szCs w:val="24"/>
        </w:rPr>
      </w:pPr>
      <w:r w:rsidDel="00000000" w:rsidR="00000000" w:rsidRPr="00000000">
        <w:rPr>
          <w:sz w:val="24"/>
          <w:szCs w:val="24"/>
          <w:rtl w:val="0"/>
        </w:rPr>
        <w:t xml:space="preserve">Precios desde, sujetos a disponibilidad hotelera.</w:t>
      </w:r>
    </w:p>
    <w:p w:rsidR="00000000" w:rsidDel="00000000" w:rsidP="00000000" w:rsidRDefault="00000000" w:rsidRPr="00000000" w14:paraId="0000004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sz w:val="24"/>
          <w:szCs w:val="24"/>
        </w:rPr>
      </w:pPr>
      <w:r w:rsidDel="00000000" w:rsidR="00000000" w:rsidRPr="00000000">
        <w:rPr>
          <w:sz w:val="24"/>
          <w:szCs w:val="24"/>
          <w:rtl w:val="0"/>
        </w:rPr>
        <w:t xml:space="preserve">Hotelería en hoteles mencionados o similares.</w:t>
      </w:r>
    </w:p>
    <w:p w:rsidR="00000000" w:rsidDel="00000000" w:rsidP="00000000" w:rsidRDefault="00000000" w:rsidRPr="00000000" w14:paraId="0000004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sz w:val="24"/>
          <w:szCs w:val="24"/>
        </w:rPr>
      </w:pPr>
      <w:r w:rsidDel="00000000" w:rsidR="00000000" w:rsidRPr="00000000">
        <w:rPr>
          <w:sz w:val="24"/>
          <w:szCs w:val="24"/>
          <w:rtl w:val="0"/>
        </w:rPr>
        <w:t xml:space="preserve">Habitaciones estándar. En caso de preferir habitaciones superiores favor de consultar.</w:t>
      </w:r>
    </w:p>
    <w:p w:rsidR="00000000" w:rsidDel="00000000" w:rsidP="00000000" w:rsidRDefault="00000000" w:rsidRPr="00000000" w14:paraId="0000004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sz w:val="24"/>
          <w:szCs w:val="24"/>
        </w:rPr>
      </w:pPr>
      <w:r w:rsidDel="00000000" w:rsidR="00000000" w:rsidRPr="00000000">
        <w:rPr>
          <w:sz w:val="24"/>
          <w:szCs w:val="24"/>
          <w:rtl w:val="0"/>
        </w:rPr>
        <w:t xml:space="preserve">El orden de las visitas se reconfirmarán hasta el momento de la llegada a Vancouver.</w:t>
      </w:r>
    </w:p>
    <w:p w:rsidR="00000000" w:rsidDel="00000000" w:rsidP="00000000" w:rsidRDefault="00000000" w:rsidRPr="00000000" w14:paraId="0000004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sz w:val="24"/>
          <w:szCs w:val="24"/>
        </w:rPr>
      </w:pPr>
      <w:r w:rsidDel="00000000" w:rsidR="00000000" w:rsidRPr="00000000">
        <w:rPr>
          <w:sz w:val="24"/>
          <w:szCs w:val="24"/>
          <w:rtl w:val="0"/>
        </w:rPr>
        <w:t xml:space="preserve"> Precio sujeto a disponibilidad en el momento de reservar.</w:t>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firstLine="0"/>
        <w:rPr>
          <w:sz w:val="24"/>
          <w:szCs w:val="24"/>
          <w:u w:val="none"/>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rPr>
          <w:rFonts w:ascii="Roboto" w:cs="Roboto" w:eastAsia="Roboto" w:hAnsi="Roboto"/>
          <w:color w:val="70706f"/>
          <w:sz w:val="21"/>
          <w:szCs w:val="21"/>
          <w:highlight w:val="white"/>
        </w:rPr>
      </w:pPr>
      <w:r w:rsidDel="00000000" w:rsidR="00000000" w:rsidRPr="00000000">
        <w:rPr>
          <w:b w:val="1"/>
          <w:sz w:val="24"/>
          <w:szCs w:val="24"/>
          <w:rtl w:val="0"/>
        </w:rPr>
        <w:t xml:space="preserve">COSTO</w:t>
      </w:r>
      <w:r w:rsidDel="00000000" w:rsidR="00000000" w:rsidRPr="00000000">
        <w:rPr>
          <w:sz w:val="24"/>
          <w:szCs w:val="24"/>
          <w:rtl w:val="0"/>
        </w:rPr>
        <w:br w:type="textWrapping"/>
        <w:t xml:space="preserve">Costo desde por persona </w:t>
        <w:br w:type="textWrapping"/>
        <w:t xml:space="preserve">DBL $2,283 cad</w:t>
        <w:br w:type="textWrapping"/>
        <w:t xml:space="preserve">TPL $2,165 cad</w:t>
        <w:br w:type="textWrapping"/>
        <w:t xml:space="preserve">CHD $1,170 cad</w:t>
      </w:r>
      <w:r w:rsidDel="00000000" w:rsidR="00000000" w:rsidRPr="00000000">
        <w:rPr>
          <w:rtl w:val="0"/>
        </w:rPr>
      </w:r>
    </w:p>
    <w:p w:rsidR="00000000" w:rsidDel="00000000" w:rsidP="00000000" w:rsidRDefault="00000000" w:rsidRPr="00000000" w14:paraId="00000048">
      <w:pPr>
        <w:shd w:fill="ffffff" w:val="clear"/>
        <w:spacing w:after="160" w:lineRule="auto"/>
        <w:ind w:left="0" w:firstLine="0"/>
        <w:rPr>
          <w:rFonts w:ascii="Roboto" w:cs="Roboto" w:eastAsia="Roboto" w:hAnsi="Roboto"/>
          <w:color w:val="70706f"/>
          <w:sz w:val="21"/>
          <w:szCs w:val="21"/>
          <w:highlight w:val="white"/>
        </w:rPr>
      </w:pPr>
      <w:r w:rsidDel="00000000" w:rsidR="00000000" w:rsidRPr="00000000">
        <w:rPr>
          <w:rtl w:val="0"/>
        </w:rPr>
      </w:r>
    </w:p>
    <w:p w:rsidR="00000000" w:rsidDel="00000000" w:rsidP="00000000" w:rsidRDefault="00000000" w:rsidRPr="00000000" w14:paraId="00000049">
      <w:pPr>
        <w:spacing w:after="0" w:lineRule="auto"/>
        <w:rPr>
          <w:rFonts w:ascii="Roboto" w:cs="Roboto" w:eastAsia="Roboto" w:hAnsi="Roboto"/>
          <w:color w:val="70706f"/>
          <w:sz w:val="21"/>
          <w:szCs w:val="21"/>
          <w:highlight w:val="white"/>
        </w:rPr>
      </w:pPr>
      <w:r w:rsidDel="00000000" w:rsidR="00000000" w:rsidRPr="00000000">
        <w:rPr>
          <w:rtl w:val="0"/>
        </w:rPr>
      </w:r>
    </w:p>
    <w:p w:rsidR="00000000" w:rsidDel="00000000" w:rsidP="00000000" w:rsidRDefault="00000000" w:rsidRPr="00000000" w14:paraId="0000004A">
      <w:pPr>
        <w:spacing w:after="0" w:lineRule="auto"/>
        <w:rPr>
          <w:sz w:val="24"/>
          <w:szCs w:val="24"/>
        </w:rPr>
      </w:pPr>
      <w:r w:rsidDel="00000000" w:rsidR="00000000" w:rsidRPr="00000000">
        <w:rPr>
          <w:rtl w:val="0"/>
        </w:rPr>
      </w:r>
    </w:p>
    <w:sectPr>
      <w:headerReference r:id="rId9" w:type="default"/>
      <w:headerReference r:id="rId10" w:type="first"/>
      <w:headerReference r:id="rId11" w:type="even"/>
      <w:footerReference r:id="rId12" w:type="first"/>
      <w:footerReference r:id="rId13" w:type="even"/>
      <w:pgSz w:h="15840" w:w="12240" w:orient="portrait"/>
      <w:pgMar w:bottom="567" w:top="2160" w:left="992" w:right="104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-1365872</wp:posOffset>
          </wp:positionH>
          <wp:positionV relativeFrom="paragraph">
            <wp:posOffset>-449563</wp:posOffset>
          </wp:positionV>
          <wp:extent cx="4171950" cy="1322705"/>
          <wp:effectExtent b="0" l="0" r="0" t="0"/>
          <wp:wrapNone/>
          <wp:docPr id="15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171950" cy="13227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1170305</wp:posOffset>
          </wp:positionH>
          <wp:positionV relativeFrom="paragraph">
            <wp:posOffset>-449563</wp:posOffset>
          </wp:positionV>
          <wp:extent cx="6000750" cy="1000125"/>
          <wp:effectExtent b="0" l="0" r="0" t="0"/>
          <wp:wrapNone/>
          <wp:docPr id="16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000750" cy="1000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wp:posOffset>
          </wp:positionH>
          <wp:positionV relativeFrom="paragraph">
            <wp:posOffset>-80631</wp:posOffset>
          </wp:positionV>
          <wp:extent cx="1350645" cy="709930"/>
          <wp:effectExtent b="0" l="0" r="0" t="0"/>
          <wp:wrapSquare wrapText="bothSides" distB="0" distT="0" distL="114300" distR="114300"/>
          <wp:docPr descr="logo imacop editable-01" id="162" name="image4.png"/>
          <a:graphic>
            <a:graphicData uri="http://schemas.openxmlformats.org/drawingml/2006/picture">
              <pic:pic>
                <pic:nvPicPr>
                  <pic:cNvPr descr="logo imacop editable-01" id="0" name="image4.png"/>
                  <pic:cNvPicPr preferRelativeResize="0"/>
                </pic:nvPicPr>
                <pic:blipFill>
                  <a:blip r:embed="rId3"/>
                  <a:srcRect b="0" l="0" r="0" t="0"/>
                  <a:stretch>
                    <a:fillRect/>
                  </a:stretch>
                </pic:blipFill>
                <pic:spPr>
                  <a:xfrm>
                    <a:off x="0" y="0"/>
                    <a:ext cx="1350645" cy="7099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80"/>
    </w:pPr>
    <w:rPr>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notaalfinal">
    <w:name w:val="endnote reference"/>
    <w:basedOn w:val="Fuentedeprrafopredeter"/>
    <w:uiPriority w:val="99"/>
    <w:semiHidden w:val="1"/>
    <w:unhideWhenUsed w:val="1"/>
    <w:rPr>
      <w:vertAlign w:val="superscript"/>
    </w:rPr>
  </w:style>
  <w:style w:type="paragraph" w:styleId="Textonotaalfinal">
    <w:name w:val="endnote text"/>
    <w:basedOn w:val="Normal"/>
    <w:link w:val="TextonotaalfinalCar"/>
    <w:uiPriority w:val="99"/>
    <w:semiHidden w:val="1"/>
    <w:unhideWhenUsed w:val="1"/>
    <w:pPr>
      <w:spacing w:after="0"/>
    </w:pPr>
    <w:rPr>
      <w:sz w:val="20"/>
      <w:szCs w:val="20"/>
    </w:rPr>
  </w:style>
  <w:style w:type="paragraph" w:styleId="Encabezado">
    <w:name w:val="header"/>
    <w:basedOn w:val="Normal"/>
    <w:link w:val="EncabezadoCar"/>
    <w:uiPriority w:val="99"/>
    <w:unhideWhenUsed w:val="1"/>
    <w:pPr>
      <w:tabs>
        <w:tab w:val="center" w:pos="4419"/>
        <w:tab w:val="right" w:pos="8838"/>
      </w:tabs>
      <w:spacing w:after="0"/>
    </w:pPr>
  </w:style>
  <w:style w:type="paragraph" w:styleId="Piedepgina">
    <w:name w:val="footer"/>
    <w:basedOn w:val="Normal"/>
    <w:link w:val="PiedepginaCar"/>
    <w:uiPriority w:val="99"/>
    <w:unhideWhenUsed w:val="1"/>
    <w:pPr>
      <w:tabs>
        <w:tab w:val="center" w:pos="4419"/>
        <w:tab w:val="right" w:pos="8838"/>
      </w:tabs>
      <w:spacing w:after="0"/>
    </w:pPr>
  </w:style>
  <w:style w:type="table" w:styleId="Tablaconcuadrcula">
    <w:name w:val="Table Grid"/>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basedOn w:val="Fuentedeprrafopredeter"/>
    <w:link w:val="Encabezado"/>
    <w:uiPriority w:val="99"/>
  </w:style>
  <w:style w:type="character" w:styleId="PiedepginaCar" w:customStyle="1">
    <w:name w:val="Pie de página Car"/>
    <w:basedOn w:val="Fuentedeprrafopredeter"/>
    <w:link w:val="Piedepgina"/>
    <w:uiPriority w:val="99"/>
  </w:style>
  <w:style w:type="paragraph" w:styleId="Prrafodelista">
    <w:name w:val="List Paragraph"/>
    <w:basedOn w:val="Normal"/>
    <w:uiPriority w:val="34"/>
    <w:qFormat w:val="1"/>
    <w:pPr>
      <w:ind w:left="720"/>
      <w:contextualSpacing w:val="1"/>
    </w:pPr>
  </w:style>
  <w:style w:type="character" w:styleId="TextonotaalfinalCar" w:customStyle="1">
    <w:name w:val="Texto nota al final Car"/>
    <w:basedOn w:val="Fuentedeprrafopredeter"/>
    <w:link w:val="Textonotaalfinal"/>
    <w:uiPriority w:val="99"/>
    <w:semiHidden w:val="1"/>
    <w:qFormat w:val="1"/>
    <w:rPr>
      <w:sz w:val="20"/>
      <w:szCs w:val="20"/>
    </w:rPr>
  </w:style>
  <w:style w:type="table" w:styleId="Tabladecuadrcula1clara-nfasis31" w:customStyle="1">
    <w:name w:val="Tabla de cuadrícula 1 clara - Énfasis 31"/>
    <w:basedOn w:val="Tablanormal"/>
    <w:uiPriority w:val="46"/>
    <w:tblPr>
      <w:tblBorders>
        <w:top w:color="f5e2a9" w:space="0" w:sz="4" w:themeColor="accent3" w:themeTint="000066" w:val="single"/>
        <w:left w:color="f5e2a9" w:space="0" w:sz="4" w:themeColor="accent3" w:themeTint="000066" w:val="single"/>
        <w:bottom w:color="f5e2a9" w:space="0" w:sz="4" w:themeColor="accent3" w:themeTint="000066" w:val="single"/>
        <w:right w:color="f5e2a9" w:space="0" w:sz="4" w:themeColor="accent3" w:themeTint="000066" w:val="single"/>
        <w:insideH w:color="f5e2a9" w:space="0" w:sz="4" w:themeColor="accent3" w:themeTint="000066" w:val="single"/>
        <w:insideV w:color="f5e2a9" w:space="0" w:sz="4" w:themeColor="accent3" w:themeTint="000066" w:val="single"/>
      </w:tblBorders>
    </w:tblPr>
    <w:tblStylePr w:type="firstRow">
      <w:rPr>
        <w:b w:val="1"/>
        <w:bCs w:val="1"/>
      </w:rPr>
      <w:tblPr/>
      <w:tcPr>
        <w:tcBorders>
          <w:bottom w:color="f0d37e" w:space="0" w:sz="12" w:themeColor="accent3" w:themeTint="000099" w:val="single"/>
        </w:tcBorders>
      </w:tcPr>
    </w:tblStylePr>
    <w:tblStylePr w:type="lastRow">
      <w:rPr>
        <w:b w:val="1"/>
        <w:bCs w:val="1"/>
      </w:rPr>
      <w:tblPr/>
      <w:tcPr>
        <w:tcBorders>
          <w:top w:color="f0d37e" w:space="0" w:sz="2" w:themeColor="accent3" w:themeTint="000099" w:val="double"/>
        </w:tcBorders>
      </w:tcPr>
    </w:tblStylePr>
    <w:tblStylePr w:type="firstCol">
      <w:rPr>
        <w:b w:val="1"/>
        <w:bCs w:val="1"/>
      </w:rPr>
    </w:tblStylePr>
    <w:tblStylePr w:type="lastCol">
      <w:rPr>
        <w:b w:val="1"/>
        <w:bCs w:val="1"/>
      </w:rPr>
    </w:tblStylePr>
  </w:style>
  <w:style w:type="table" w:styleId="Tablanormal41" w:customStyle="1">
    <w:name w:val="Tabla normal 41"/>
    <w:basedOn w:val="Tablanormal"/>
    <w:uiPriority w:val="44"/>
    <w:qFormat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625912"/>
    <w:pPr>
      <w:spacing w:after="100" w:afterAutospacing="1" w:before="100" w:beforeAutospacing="1"/>
    </w:pPr>
    <w:rPr>
      <w:rFonts w:ascii="Times New Roman" w:cs="Times New Roman" w:eastAsia="Times New Roman" w:hAnsi="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val="1"/>
        <w:bCs w:val="1"/>
      </w:rPr>
      <w:tblPr/>
      <w:tcPr>
        <w:tcBorders>
          <w:bottom w:color="c59dc3" w:space="0" w:sz="4" w:themeColor="accent6" w:themeTint="000099" w:val="single"/>
        </w:tcBorders>
      </w:tcPr>
    </w:tblStylePr>
    <w:tblStylePr w:type="lastRow">
      <w:rPr>
        <w:b w:val="1"/>
        <w:bCs w:val="1"/>
      </w:rPr>
      <w:tblPr/>
      <w:tcPr>
        <w:tcBorders>
          <w:top w:color="c59dc3"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bdeeb" w:themeFill="accent6" w:themeFillTint="000033" w:val="clear"/>
      </w:tcPr>
    </w:tblStylePr>
    <w:tblStylePr w:type="band1Horz">
      <w:tblPr/>
      <w:tcPr>
        <w:shd w:color="auto" w:fill="ebdeeb" w:themeFill="accent6"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L4ST5Z+veEDnVhGAIJiEvBS4A==">CgMxLjAyDmgub3NzdWE3ZnRxNjEyMg5oLjVyenJ6bTFoYzU3YzIOaC40aGZzOW8yamJ2Zm4yDmguZm55cmgwdTAzZDRjMg5oLmJlamU0eGExa202NjIOaC50eXN1NDE2Z3R2Z2syDmgueXdjZzN6djEwZmZ0Mg5oLnVkbHBuOWJrcTUxeDIOaC4zcmZ5YWJueGZveTAyDmguYjN2OTI5amJ2c3JyMg5oLjdpNWRjemxpdDkxODIOaC43Z3lzY3J5ajdqNWUyDmgueXVvMjFrYjM2bGFxMg5oLjF5NnljMm51MnVveDgAciExY093d2MtTC1tN2FfekN4d0g0SDJvXzBOR0U2RkNTQ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2024-07-31T19:18:00Z</dcterms:created>
  <dc:creator>imacop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