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Costa fin de año 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DÍA 1. SÁBADO 27 DE DICIEMBRE 2025 MÉXICO- PUNTA CANA</w:t>
      </w:r>
    </w:p>
    <w:p w:rsidR="00000000" w:rsidDel="00000000" w:rsidP="00000000" w:rsidRDefault="00000000" w:rsidRPr="00000000" w14:paraId="00000005">
      <w:pPr>
        <w:spacing w:after="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la hora indicada vuelo con destino a Punta Cana</w:t>
      </w:r>
    </w:p>
    <w:p w:rsidR="00000000" w:rsidDel="00000000" w:rsidP="00000000" w:rsidRDefault="00000000" w:rsidRPr="00000000" w14:paraId="00000006">
      <w:pPr>
        <w:spacing w:after="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Llegada, asistencia en el aeropuerto y traslado al hotel. Alojamiento</w:t>
      </w:r>
    </w:p>
    <w:p w:rsidR="00000000" w:rsidDel="00000000" w:rsidP="00000000" w:rsidRDefault="00000000" w:rsidRPr="00000000" w14:paraId="00000007">
      <w:pPr>
        <w:spacing w:after="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Nota: La ruta aérea puede cambiar llegando a Punta Cana, queda sujeta a confirmación por la línea aérea.]</w:t>
        <w:br w:type="textWrapping"/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DÍA 2.- DOMINGO 28 DE DICIEMBRE CASA DE CAMPO/LA ROMANA      </w:t>
        <w:tab/>
      </w:r>
    </w:p>
    <w:p w:rsidR="00000000" w:rsidDel="00000000" w:rsidP="00000000" w:rsidRDefault="00000000" w:rsidRPr="00000000" w14:paraId="00000008">
      <w:pPr>
        <w:spacing w:after="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Desayuno en el hotel. A la hora indicada traslado al muelle de la Romana para abordar Costa Pacífica.</w:t>
      </w:r>
    </w:p>
    <w:p w:rsidR="00000000" w:rsidDel="00000000" w:rsidP="00000000" w:rsidRDefault="00000000" w:rsidRPr="00000000" w14:paraId="00000009">
      <w:pPr>
        <w:spacing w:after="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DÍA 3 - LUNES 29 DE DICIEMBRE: ISLA CATALINA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Una isla paradisíaca en la costa de República Dominicana, famosa por sus playas de arena blanca y aguas cristalinas. Ideal para relajarse, practicar snorkel o buceo en los arrecifes de coral cercanos.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DÍA 4 - MARTES 30 DE DICIEMBRE: SAMANÁ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 destino perfecto para quienes buscan aventura y relax en un entorno natural. Explora el Parque Nacional Los Haitises, disfruta de las playas vírgenes o visita la impresionante Cascada El Limón.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DÍA 5 - MIÉRCOLES 31 DE DICIEMBRE: GRAND TURK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isla principal de las Islas Turcas y Caicos, con espectaculares playas de arena blanca y un impresionante arrecife de coral. Perfecta para nadar, bucear o explorar la historia colonial en Cockburn Town.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DÍA 6 - JUEVES 01 DE ENERO: AMBER COVE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 exclusivo puerto en la costa norte de República Dominicana, cerca de Puerto Plata. Disfruta de su lujoso complejo turístico, excursiones a cascadas, tirolesas o un paseo por la ciudad histórica.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DÍA 7 - VIERNES 02 DE ENERO: NAVEGANDO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Día de descanso en altamar para disfrutar de las comodidades del crucero. Relájate en la piscina, asiste a espectáculos en vivo o disfruta de la gastronomía a bordo.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DÍA 8 - SÁBADO 03 DE ENERO: CABO ROJO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Ubicado en la costa suroeste de República Dominicana, Cabo Rojo es un destino con playas vírgenes, aguas cristalinas y un ecosistema protegido. Ideal para disfrutar de la naturaleza y la tranquilidad.</w:t>
      </w:r>
    </w:p>
    <w:p w:rsidR="00000000" w:rsidDel="00000000" w:rsidP="00000000" w:rsidRDefault="00000000" w:rsidRPr="00000000" w14:paraId="00000015">
      <w:pPr>
        <w:spacing w:after="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DÍA 9.- DOMINGO 04 DE ENERO. CASA DE CAMPO LA ROMANA- SANTO DOMINGO</w:t>
      </w:r>
    </w:p>
    <w:p w:rsidR="00000000" w:rsidDel="00000000" w:rsidP="00000000" w:rsidRDefault="00000000" w:rsidRPr="00000000" w14:paraId="00000016">
      <w:pPr>
        <w:spacing w:after="0" w:before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Desembarque. A la hora indicada traslado del Puerto al hotel en Santo Domingo. Alojamiento.</w:t>
      </w:r>
    </w:p>
    <w:p w:rsidR="00000000" w:rsidDel="00000000" w:rsidP="00000000" w:rsidRDefault="00000000" w:rsidRPr="00000000" w14:paraId="00000017">
      <w:pPr>
        <w:spacing w:after="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DÍA 10.-</w:t>
      </w:r>
      <w:r w:rsidDel="00000000" w:rsidR="00000000" w:rsidRPr="00000000">
        <w:rPr>
          <w:b w:val="1"/>
          <w:sz w:val="24"/>
          <w:szCs w:val="24"/>
          <w:rtl w:val="0"/>
        </w:rPr>
        <w:t xml:space="preserve"> LUNES 05 DE ENERO. SANTO DOMINGO- MÉXICO</w:t>
      </w:r>
    </w:p>
    <w:p w:rsidR="00000000" w:rsidDel="00000000" w:rsidP="00000000" w:rsidRDefault="00000000" w:rsidRPr="00000000" w14:paraId="00000018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Desayuno en el hotel y a la hora indicada traslado al aeropuerto para tomar vuelo de regreso a su destino. FIN DE LOS SERVICIOS</w:t>
      </w:r>
    </w:p>
    <w:p w:rsidR="00000000" w:rsidDel="00000000" w:rsidP="00000000" w:rsidRDefault="00000000" w:rsidRPr="00000000" w14:paraId="00000019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24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Incluye: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before="24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Boleto aéreo NLU-SDQ- NLU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noche de alojamiento pre-crucero con desayuno en Punta Cana o Sto. Domingo (según ruta aérea) 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Traslado de llegada Aeropuerto- hotel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Traslado hotel- Puerto la Romana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 noches de alojamiento en categoría de cabina seleccionada en crucero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Acceso a las áreas públicas del barco (albercas, casino, canchas deportivas, tiendas, biblioteca, teatro, cine, disco y bares)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Impuestos portuarios por persona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Propinas en crucero por persona  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Paquete de Bebidas en crucero (alcohólicas)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mayor parte de las comidas a bordo del crucero.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Traslado puerto – hotel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noche de alojamiento post crucero en Santo Domingo con desayuno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Traslado Hotel- Aeropuerto</w:t>
      </w:r>
    </w:p>
    <w:p w:rsidR="00000000" w:rsidDel="00000000" w:rsidP="00000000" w:rsidRDefault="00000000" w:rsidRPr="00000000" w14:paraId="00000028">
      <w:pPr>
        <w:spacing w:after="0" w:before="24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after="0" w:before="24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No incluye: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afterAutospacing="0" w:before="240"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Alimentos no especificados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before="0" w:beforeAutospacing="0"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Todo servicio no descrito en el precio incluye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Propinas y gastos personales en tierra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Paquete de WIFI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Gastos personales como llamadas telefónicas, lavandería, internet, spa, etc.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Restaurantes de especialidades en crucero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Excursiones y/o actividades en Tierra del programa crucero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Paquete Opcional</w:t>
      </w:r>
    </w:p>
    <w:p w:rsidR="00000000" w:rsidDel="00000000" w:rsidP="00000000" w:rsidRDefault="00000000" w:rsidRPr="00000000" w14:paraId="00000032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Hoteles y cruceros previsto o similar </w:t>
      </w:r>
    </w:p>
    <w:p w:rsidR="00000000" w:rsidDel="00000000" w:rsidP="00000000" w:rsidRDefault="00000000" w:rsidRPr="00000000" w14:paraId="00000033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Punta Cana -   FARANDA SINGLE ONE</w:t>
      </w:r>
    </w:p>
    <w:p w:rsidR="00000000" w:rsidDel="00000000" w:rsidP="00000000" w:rsidRDefault="00000000" w:rsidRPr="00000000" w14:paraId="00000034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Santo Domingo - HODELPA NOVUS PLAZA</w:t>
        <w:br w:type="textWrapping"/>
        <w:br w:type="textWrapping"/>
        <w:t xml:space="preserve">Crucero - Costa Pacifica 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Hora de salida crucero: 12:00 pm. // Hora de llegada 08:00 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36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7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35"/>
        <w:gridCol w:w="1500"/>
        <w:gridCol w:w="1365"/>
        <w:gridCol w:w="1410"/>
        <w:gridCol w:w="900"/>
        <w:tblGridChange w:id="0">
          <w:tblGrid>
            <w:gridCol w:w="2535"/>
            <w:gridCol w:w="1500"/>
            <w:gridCol w:w="1365"/>
            <w:gridCol w:w="1410"/>
            <w:gridCol w:w="90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4d93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240" w:line="276" w:lineRule="auto"/>
              <w:jc w:val="center"/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TARIFA POR PERSONA EN USD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44b3e1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240" w:line="276" w:lineRule="auto"/>
              <w:jc w:val="center"/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SERVICIOS TERRESTRES + CRUCERO + AEREO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0070c0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240" w:line="276" w:lineRule="auto"/>
              <w:jc w:val="center"/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POR PERSONA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0070c0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240" w:line="276" w:lineRule="auto"/>
              <w:jc w:val="center"/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PAX 1 Y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0070c0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240" w:line="276" w:lineRule="auto"/>
              <w:jc w:val="center"/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3ER PAX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0070c0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240" w:line="276" w:lineRule="auto"/>
              <w:jc w:val="center"/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4TO PAX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0070c0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240" w:line="276" w:lineRule="auto"/>
              <w:jc w:val="center"/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MNR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24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CABINA INTERIOR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24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2460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24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24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24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1210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24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CABINA EXTERIOR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24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24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24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24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1210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24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CABINA BALCÓN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24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2760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before="24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24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before="24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1210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5"/>
            <w:tcBorders>
              <w:top w:color="000000" w:space="0" w:sz="0" w:val="nil"/>
              <w:left w:color="1e4e79" w:space="0" w:sz="5" w:val="single"/>
              <w:bottom w:color="000000" w:space="0" w:sz="0" w:val="nil"/>
              <w:right w:color="000000" w:space="0" w:sz="0" w:val="nil"/>
            </w:tcBorders>
            <w:shd w:fill="2f5496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240" w:line="276" w:lineRule="auto"/>
              <w:jc w:val="center"/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TARIFAS SUJETAS A CAMBIOS Y DISPONIBILIDAD SIN PREVIO AVISO</w:t>
            </w:r>
          </w:p>
        </w:tc>
      </w:tr>
    </w:tbl>
    <w:p w:rsidR="00000000" w:rsidDel="00000000" w:rsidP="00000000" w:rsidRDefault="00000000" w:rsidRPr="00000000" w14:paraId="00000064">
      <w:pPr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before="24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NOTAS IMPORTANTES: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after="0" w:before="240"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Capacidad máxima es de 3 adultos + 1 niño // 2 adultos + 2 niños en la</w:t>
      </w:r>
      <w:r w:rsidDel="00000000" w:rsidR="00000000" w:rsidRPr="00000000">
        <w:rPr>
          <w:sz w:val="24"/>
          <w:szCs w:val="24"/>
          <w:rtl w:val="0"/>
        </w:rPr>
        <w:t xml:space="preserve"> habitación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Los menores son considerados de 2 a 12 años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Habitaciones estándar. En caso de preferir habitaciones superiores favor de consultar.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 se reembolsará ningún traslado o visita en el caso de no disfrute o de cancelación de este.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pacing w:after="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 orden de las actividades puede tener modificaciones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Manejo de equipaje máximo de 1 maleta por persona. En caso de equipaje adicional costos extras pueden ser cobrados en destino. 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Para poder confirmar los traslados debemos recibir la información completa a más tardar 30 días antes de la salida. Si no recibimos esta información el traslado se perderá sin reembolso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Tarifa y salidas del crucero sujetas a disponibilidad y cambios sin previo aviso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Es responsabilidad del pasajero contar con documentos y vacunas requeridas antes de su viaje.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Los documentos finales del crucero se envían aproximadamente 30 días antes de la salida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Los impuestos portuarios varían dependiendo los puertos de salida y llegada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 edad mínima en niños viajando en cruceros es de 6 meses, con la excepción de los trasatlánticos, transpacíficos, Hawái y cruceros de América del Sur donde la edad mínima es de 12 meses.</w:t>
      </w:r>
    </w:p>
    <w:p w:rsidR="00000000" w:rsidDel="00000000" w:rsidP="00000000" w:rsidRDefault="00000000" w:rsidRPr="00000000" w14:paraId="00000075">
      <w:pPr>
        <w:spacing w:after="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6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567" w:top="2160" w:left="992" w:right="104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-1365880</wp:posOffset>
          </wp:positionH>
          <wp:positionV relativeFrom="paragraph">
            <wp:posOffset>-449573</wp:posOffset>
          </wp:positionV>
          <wp:extent cx="4171950" cy="1322705"/>
          <wp:effectExtent b="0" l="0" r="0" t="0"/>
          <wp:wrapNone/>
          <wp:docPr id="11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71950" cy="13227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1170305</wp:posOffset>
          </wp:positionH>
          <wp:positionV relativeFrom="paragraph">
            <wp:posOffset>-449573</wp:posOffset>
          </wp:positionV>
          <wp:extent cx="6000750" cy="1000125"/>
          <wp:effectExtent b="0" l="0" r="0" t="0"/>
          <wp:wrapNone/>
          <wp:docPr id="11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0750" cy="10001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 Gothic" w:cs="Century Gothic" w:eastAsia="Century Gothic" w:hAnsi="Century Gothic"/>
        <w:sz w:val="22"/>
        <w:szCs w:val="22"/>
        <w:lang w:val="en-US"/>
      </w:rPr>
    </w:rPrDefault>
    <w:pPrDefault>
      <w:pPr>
        <w:spacing w:after="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80"/>
    </w:pPr>
    <w:rPr>
      <w:sz w:val="22"/>
      <w:szCs w:val="2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Refdenotaalfinal">
    <w:name w:val="endnote reference"/>
    <w:basedOn w:val="Fuentedeprrafopredeter"/>
    <w:uiPriority w:val="99"/>
    <w:semiHidden w:val="1"/>
    <w:unhideWhenUsed w:val="1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 w:val="1"/>
    <w:unhideWhenUsed w:val="1"/>
    <w:pPr>
      <w:spacing w:after="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 w:val="1"/>
    <w:pPr>
      <w:tabs>
        <w:tab w:val="center" w:pos="4419"/>
        <w:tab w:val="right" w:pos="8838"/>
      </w:tabs>
      <w:spacing w:after="0"/>
    </w:pPr>
  </w:style>
  <w:style w:type="paragraph" w:styleId="Piedepgina">
    <w:name w:val="footer"/>
    <w:basedOn w:val="Normal"/>
    <w:link w:val="PiedepginaCar"/>
    <w:uiPriority w:val="99"/>
    <w:unhideWhenUsed w:val="1"/>
    <w:pPr>
      <w:tabs>
        <w:tab w:val="center" w:pos="4419"/>
        <w:tab w:val="right" w:pos="8838"/>
      </w:tabs>
      <w:spacing w:after="0"/>
    </w:pPr>
  </w:style>
  <w:style w:type="table" w:styleId="Tablaconcuadrcula">
    <w:name w:val="Table Grid"/>
    <w:basedOn w:val="Tablanormal"/>
    <w:uiPriority w:val="3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EncabezadoCar" w:customStyle="1">
    <w:name w:val="Encabezado Car"/>
    <w:basedOn w:val="Fuentedeprrafopredeter"/>
    <w:link w:val="Encabezado"/>
    <w:uiPriority w:val="99"/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 w:val="1"/>
    <w:pPr>
      <w:ind w:left="720"/>
      <w:contextualSpacing w:val="1"/>
    </w:pPr>
  </w:style>
  <w:style w:type="character" w:styleId="TextonotaalfinalCar" w:customStyle="1">
    <w:name w:val="Texto nota al final Car"/>
    <w:basedOn w:val="Fuentedeprrafopredeter"/>
    <w:link w:val="Textonotaalfinal"/>
    <w:uiPriority w:val="99"/>
    <w:semiHidden w:val="1"/>
    <w:qFormat w:val="1"/>
    <w:rPr>
      <w:sz w:val="20"/>
      <w:szCs w:val="20"/>
    </w:rPr>
  </w:style>
  <w:style w:type="table" w:styleId="Tabladecuadrcula1clara-nfasis31" w:customStyle="1">
    <w:name w:val="Tabla de cuadrícula 1 clara - Énfasis 31"/>
    <w:basedOn w:val="Tablanormal"/>
    <w:uiPriority w:val="46"/>
    <w:tblPr>
      <w:tblBorders>
        <w:top w:color="f5e2a9" w:space="0" w:sz="4" w:themeColor="accent3" w:themeTint="000066" w:val="single"/>
        <w:left w:color="f5e2a9" w:space="0" w:sz="4" w:themeColor="accent3" w:themeTint="000066" w:val="single"/>
        <w:bottom w:color="f5e2a9" w:space="0" w:sz="4" w:themeColor="accent3" w:themeTint="000066" w:val="single"/>
        <w:right w:color="f5e2a9" w:space="0" w:sz="4" w:themeColor="accent3" w:themeTint="000066" w:val="single"/>
        <w:insideH w:color="f5e2a9" w:space="0" w:sz="4" w:themeColor="accent3" w:themeTint="000066" w:val="single"/>
        <w:insideV w:color="f5e2a9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f0d37e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0d37e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lanormal41" w:customStyle="1">
    <w:name w:val="Tabla normal 41"/>
    <w:basedOn w:val="Tablanormal"/>
    <w:uiPriority w:val="44"/>
    <w:qFormat w:val="1"/>
    <w:tblPr/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NormalWeb">
    <w:name w:val="Normal (Web)"/>
    <w:basedOn w:val="Normal"/>
    <w:uiPriority w:val="99"/>
    <w:semiHidden w:val="1"/>
    <w:unhideWhenUsed w:val="1"/>
    <w:rsid w:val="00625912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table" w:styleId="Tabladelista1clara-nfasis6">
    <w:name w:val="List Table 1 Light Accent 6"/>
    <w:basedOn w:val="Tablanormal"/>
    <w:uiPriority w:val="46"/>
    <w:rsid w:val="00D5080C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c59dc3" w:space="0" w:sz="4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59dc3" w:space="0" w:sz="4" w:themeColor="accent6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bdeeb" w:themeFill="accent6" w:themeFillTint="000033" w:val="clear"/>
      </w:tcPr>
    </w:tblStylePr>
    <w:tblStylePr w:type="band1Horz">
      <w:tblPr/>
      <w:tcPr>
        <w:shd w:color="auto" w:fill="ebdeeb" w:themeFill="accent6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_rels/theme1.xml.rels><?xml version="1.0" encoding="UTF-8" standalone="yes"?><Relationships xmlns="http://schemas.openxmlformats.org/package/2006/relationships"><Relationship Id="rId1" Type="http://schemas.openxmlformats.org/officeDocument/2006/relationships/image" Target="../media/image1.jp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ezFkdNaGjc4FFYJeTgdBCikwyg==">CgMxLjA4AHIhMUkzN2gtRlc3NHVtTlBpOXp1RUNOWGJtd2xKcnhsMXRl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2024-07-31T19:18:00Z</dcterms:created>
  <dc:creator>imacop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2058-12.2.0.13416</vt:lpwstr>
  </property>
  <property fmtid="{D5CDD505-2E9C-101B-9397-08002B2CF9AE}" pid="3" name="ICV">
    <vt:lpwstr>27E46D03794145D4ACD6E697EB68761D_12</vt:lpwstr>
  </property>
</Properties>
</file>